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 </w:t>
      </w:r>
    </w:p>
    <w:p w:rsidR="002A487E" w:rsidRPr="002A487E" w:rsidRDefault="002A487E" w:rsidP="002A487E">
      <w:pPr>
        <w:spacing w:line="240" w:lineRule="auto"/>
        <w:rPr>
          <w:rFonts w:eastAsia="Times New Roman" w:cs="Times New Roman"/>
          <w:b/>
          <w:color w:val="auto"/>
          <w:szCs w:val="20"/>
          <w:lang w:val="es-CO"/>
        </w:rPr>
      </w:pPr>
    </w:p>
    <w:p w:rsidR="002A487E" w:rsidRPr="002A487E" w:rsidRDefault="002A487E" w:rsidP="002A487E">
      <w:pPr>
        <w:spacing w:line="240" w:lineRule="auto"/>
        <w:jc w:val="center"/>
        <w:rPr>
          <w:rFonts w:eastAsia="Times New Roman" w:cs="Times New Roman"/>
          <w:color w:val="auto"/>
          <w:szCs w:val="24"/>
          <w:lang w:val="es-CO"/>
        </w:rPr>
      </w:pPr>
      <w:r w:rsidRPr="002A487E">
        <w:rPr>
          <w:rFonts w:eastAsia="Times New Roman" w:cs="Times New Roman"/>
          <w:b/>
          <w:color w:val="auto"/>
          <w:sz w:val="28"/>
          <w:szCs w:val="20"/>
          <w:lang w:val="es-CO"/>
        </w:rPr>
        <w:t>OFICIO Nº 006519</w:t>
      </w:r>
    </w:p>
    <w:p w:rsidR="002A487E" w:rsidRPr="002A487E" w:rsidRDefault="002A487E" w:rsidP="002A487E">
      <w:pPr>
        <w:spacing w:line="240" w:lineRule="auto"/>
        <w:jc w:val="center"/>
        <w:rPr>
          <w:rFonts w:eastAsia="Times New Roman" w:cs="Times New Roman"/>
          <w:color w:val="auto"/>
          <w:szCs w:val="24"/>
          <w:lang w:val="es-CO"/>
        </w:rPr>
      </w:pPr>
      <w:r w:rsidRPr="002A487E">
        <w:rPr>
          <w:rFonts w:eastAsia="Times New Roman" w:cs="Times New Roman"/>
          <w:b/>
          <w:color w:val="auto"/>
          <w:sz w:val="28"/>
          <w:szCs w:val="20"/>
          <w:lang w:val="es-CO"/>
        </w:rPr>
        <w:t>16-03-2018</w:t>
      </w:r>
    </w:p>
    <w:p w:rsidR="002A487E" w:rsidRPr="002A487E" w:rsidRDefault="002A487E" w:rsidP="002A487E">
      <w:pPr>
        <w:spacing w:line="240" w:lineRule="auto"/>
        <w:jc w:val="center"/>
        <w:rPr>
          <w:rFonts w:eastAsia="Times New Roman" w:cs="Times New Roman"/>
          <w:color w:val="auto"/>
          <w:szCs w:val="24"/>
          <w:lang w:val="es-CO"/>
        </w:rPr>
      </w:pPr>
      <w:r w:rsidRPr="002A487E">
        <w:rPr>
          <w:rFonts w:eastAsia="Times New Roman" w:cs="Times New Roman"/>
          <w:b/>
          <w:color w:val="auto"/>
          <w:sz w:val="28"/>
          <w:szCs w:val="20"/>
          <w:lang w:val="es-CO"/>
        </w:rPr>
        <w:t>DIAN</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b/>
          <w:color w:val="auto"/>
          <w:szCs w:val="20"/>
          <w:lang w:val="es-CO"/>
        </w:rPr>
        <w:t> </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b/>
          <w:color w:val="auto"/>
          <w:szCs w:val="20"/>
          <w:lang w:val="es-CO"/>
        </w:rPr>
        <w:t> </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Dirección de Gestión Jurídica</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100202208- 0269</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Bogotá, D.C.</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 </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Señor</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b/>
          <w:color w:val="auto"/>
          <w:szCs w:val="20"/>
          <w:lang w:val="es-CO"/>
        </w:rPr>
        <w:t>OMAR LAUREANO ROSERO JIMENEZ</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ANI</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Avenida Calle 26 No. 59 – 51 Torre 4 Piso 2</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Bogotá D.C.</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 </w:t>
      </w:r>
    </w:p>
    <w:p w:rsidR="002A487E" w:rsidRPr="002A487E" w:rsidRDefault="002A487E" w:rsidP="002A487E">
      <w:pPr>
        <w:spacing w:line="240" w:lineRule="auto"/>
        <w:rPr>
          <w:rFonts w:eastAsia="Times New Roman" w:cs="Times New Roman"/>
          <w:color w:val="auto"/>
          <w:szCs w:val="24"/>
          <w:lang w:val="es-CO"/>
        </w:rPr>
      </w:pPr>
      <w:proofErr w:type="spellStart"/>
      <w:r w:rsidRPr="002A487E">
        <w:rPr>
          <w:rFonts w:eastAsia="Times New Roman" w:cs="Times New Roman"/>
          <w:b/>
          <w:color w:val="auto"/>
          <w:szCs w:val="20"/>
          <w:lang w:val="es-CO"/>
        </w:rPr>
        <w:t>Ref</w:t>
      </w:r>
      <w:proofErr w:type="spellEnd"/>
      <w:r w:rsidRPr="002A487E">
        <w:rPr>
          <w:rFonts w:eastAsia="Times New Roman" w:cs="Times New Roman"/>
          <w:b/>
          <w:color w:val="auto"/>
          <w:szCs w:val="20"/>
          <w:lang w:val="es-CO"/>
        </w:rPr>
        <w:t xml:space="preserve">: </w:t>
      </w:r>
      <w:r w:rsidRPr="002A487E">
        <w:rPr>
          <w:rFonts w:eastAsia="Times New Roman" w:cs="Times New Roman"/>
          <w:color w:val="auto"/>
          <w:szCs w:val="20"/>
          <w:lang w:val="es-CO"/>
        </w:rPr>
        <w:t>Radicado 028759 de 25/08/2017 y 100008954 del 26/02/2018</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 </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De conformidad con el artículo 19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 </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Esta dependencia ha recibido su consulta y procede a dar respuesta en los siguientes términos:</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b/>
          <w:color w:val="auto"/>
          <w:szCs w:val="20"/>
          <w:lang w:val="es-CO"/>
        </w:rPr>
        <w:t> </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b/>
          <w:color w:val="auto"/>
          <w:szCs w:val="20"/>
          <w:lang w:val="es-CO"/>
        </w:rPr>
        <w:t>Consulta planteada</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b/>
          <w:color w:val="auto"/>
          <w:szCs w:val="20"/>
          <w:lang w:val="es-CO"/>
        </w:rPr>
        <w:t> </w:t>
      </w:r>
    </w:p>
    <w:p w:rsidR="002A487E" w:rsidRPr="002A487E" w:rsidRDefault="002A487E" w:rsidP="002A487E">
      <w:pPr>
        <w:spacing w:line="240" w:lineRule="auto"/>
        <w:rPr>
          <w:rFonts w:eastAsia="Times New Roman" w:cs="Times New Roman"/>
          <w:color w:val="auto"/>
          <w:szCs w:val="24"/>
          <w:lang w:val="es-CO"/>
        </w:rPr>
      </w:pPr>
      <w:r w:rsidRPr="00DB5C9E">
        <w:rPr>
          <w:rFonts w:eastAsia="Times New Roman" w:cs="Times New Roman"/>
          <w:color w:val="auto"/>
          <w:szCs w:val="20"/>
          <w:highlight w:val="green"/>
          <w:u w:val="single"/>
          <w:lang w:val="es-CO"/>
        </w:rPr>
        <w:t>Retención en la fuente aplicable a los pagos por compensaciones socioeconómicas a los moradores no propietarios que se ven impactados durante el proceso de enajenación de predios para el desarrollo de los proyectos viales 4G, tal como se describe en la Resolución INCO 0545 de 2008 en el Artículo 8 “Plan de Compensaciones socioeconómicas</w:t>
      </w:r>
      <w:r w:rsidRPr="00DB5C9E">
        <w:rPr>
          <w:rFonts w:eastAsia="Times New Roman" w:cs="Times New Roman"/>
          <w:color w:val="auto"/>
          <w:szCs w:val="20"/>
          <w:highlight w:val="green"/>
          <w:lang w:val="es-CO"/>
        </w:rPr>
        <w:t>.</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b/>
          <w:color w:val="auto"/>
          <w:szCs w:val="20"/>
          <w:lang w:val="es-CO"/>
        </w:rPr>
        <w:t> </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b/>
          <w:color w:val="auto"/>
          <w:szCs w:val="20"/>
          <w:lang w:val="es-CO"/>
        </w:rPr>
        <w:t>Respuesta</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 </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En primer lugar, para dar respuesta a la consulta, es necesario referirse a la definición del pago que se está realizando, para poder determinar la tarifa de retención en la fuente aplicable. En este sentido, la Resolución INCO 0545 de 2008 en su Artículo 8, establece que las compensaciones socioeconómicas son:</w:t>
      </w:r>
    </w:p>
    <w:p w:rsidR="002A487E" w:rsidRPr="002A487E" w:rsidRDefault="002A487E" w:rsidP="002A487E">
      <w:pPr>
        <w:spacing w:line="240" w:lineRule="auto"/>
        <w:ind w:left="180"/>
        <w:rPr>
          <w:rFonts w:eastAsia="Times New Roman" w:cs="Times New Roman"/>
          <w:color w:val="auto"/>
          <w:szCs w:val="24"/>
          <w:lang w:val="es-CO"/>
        </w:rPr>
      </w:pPr>
      <w:r w:rsidRPr="002A487E">
        <w:rPr>
          <w:rFonts w:eastAsia="Times New Roman" w:cs="Times New Roman"/>
          <w:i/>
          <w:color w:val="auto"/>
          <w:szCs w:val="20"/>
          <w:lang w:val="es-CO"/>
        </w:rPr>
        <w:t> </w:t>
      </w:r>
    </w:p>
    <w:p w:rsidR="002A487E" w:rsidRPr="002A487E" w:rsidRDefault="002A487E" w:rsidP="002A487E">
      <w:pPr>
        <w:spacing w:line="240" w:lineRule="auto"/>
        <w:ind w:left="180"/>
        <w:rPr>
          <w:rFonts w:eastAsia="Times New Roman" w:cs="Times New Roman"/>
          <w:color w:val="auto"/>
          <w:szCs w:val="24"/>
          <w:lang w:val="es-CO"/>
        </w:rPr>
      </w:pPr>
      <w:r w:rsidRPr="002A487E">
        <w:rPr>
          <w:rFonts w:eastAsia="Times New Roman" w:cs="Times New Roman"/>
          <w:i/>
          <w:color w:val="auto"/>
          <w:szCs w:val="20"/>
          <w:lang w:val="es-CO"/>
        </w:rPr>
        <w:t>“Consiste en el catálogo de reconocimientos que se otorga a unidades sociales para mitigar los impactos socioeconómicos específicos, causados por razón de la ejecución de un proyecto, de acuerdo con las definiciones establecidas en el artículo 9o de la presente Resolución, correspondiente a los siguientes factores:</w:t>
      </w:r>
    </w:p>
    <w:p w:rsidR="002A487E" w:rsidRPr="002A487E" w:rsidRDefault="002A487E" w:rsidP="002A487E">
      <w:pPr>
        <w:spacing w:line="240" w:lineRule="auto"/>
        <w:ind w:left="180"/>
        <w:rPr>
          <w:rFonts w:eastAsia="Times New Roman" w:cs="Times New Roman"/>
          <w:color w:val="auto"/>
          <w:szCs w:val="24"/>
          <w:lang w:val="es-CO"/>
        </w:rPr>
      </w:pPr>
      <w:r w:rsidRPr="002A487E">
        <w:rPr>
          <w:rFonts w:eastAsia="Times New Roman" w:cs="Times New Roman"/>
          <w:i/>
          <w:color w:val="auto"/>
          <w:szCs w:val="20"/>
          <w:lang w:val="es-CO"/>
        </w:rPr>
        <w:t> </w:t>
      </w:r>
    </w:p>
    <w:p w:rsidR="002A487E" w:rsidRPr="00DB5C9E" w:rsidRDefault="002A487E" w:rsidP="002A487E">
      <w:pPr>
        <w:spacing w:line="240" w:lineRule="auto"/>
        <w:ind w:left="180"/>
        <w:rPr>
          <w:rFonts w:eastAsia="Times New Roman" w:cs="Times New Roman"/>
          <w:color w:val="auto"/>
          <w:szCs w:val="24"/>
          <w:highlight w:val="green"/>
          <w:lang w:val="es-CO"/>
        </w:rPr>
      </w:pPr>
      <w:r w:rsidRPr="00DB5C9E">
        <w:rPr>
          <w:rFonts w:eastAsia="Times New Roman" w:cs="Times New Roman"/>
          <w:i/>
          <w:color w:val="auto"/>
          <w:szCs w:val="20"/>
          <w:highlight w:val="green"/>
          <w:lang w:val="es-CO"/>
        </w:rPr>
        <w:t>Factor de Apoyo al Restablecimiento de Vivienda. Factor de Apoyo a Moradores.</w:t>
      </w:r>
    </w:p>
    <w:p w:rsidR="002A487E" w:rsidRPr="00DB5C9E" w:rsidRDefault="002A487E" w:rsidP="002A487E">
      <w:pPr>
        <w:spacing w:line="240" w:lineRule="auto"/>
        <w:ind w:left="180"/>
        <w:rPr>
          <w:rFonts w:eastAsia="Times New Roman" w:cs="Times New Roman"/>
          <w:color w:val="auto"/>
          <w:szCs w:val="24"/>
          <w:highlight w:val="green"/>
          <w:lang w:val="es-CO"/>
        </w:rPr>
      </w:pPr>
      <w:r w:rsidRPr="00DB5C9E">
        <w:rPr>
          <w:rFonts w:eastAsia="Times New Roman" w:cs="Times New Roman"/>
          <w:i/>
          <w:color w:val="auto"/>
          <w:szCs w:val="20"/>
          <w:highlight w:val="green"/>
          <w:lang w:val="es-CO"/>
        </w:rPr>
        <w:t>Factor de Apoyo para Trámites. Factor de Apoyo por Movilización.</w:t>
      </w:r>
    </w:p>
    <w:p w:rsidR="002A487E" w:rsidRPr="002A487E" w:rsidRDefault="002A487E" w:rsidP="002A487E">
      <w:pPr>
        <w:spacing w:line="240" w:lineRule="auto"/>
        <w:ind w:left="180"/>
        <w:rPr>
          <w:rFonts w:eastAsia="Times New Roman" w:cs="Times New Roman"/>
          <w:color w:val="auto"/>
          <w:szCs w:val="24"/>
          <w:lang w:val="es-CO"/>
        </w:rPr>
      </w:pPr>
      <w:r w:rsidRPr="00DB5C9E">
        <w:rPr>
          <w:rFonts w:eastAsia="Times New Roman" w:cs="Times New Roman"/>
          <w:i/>
          <w:color w:val="auto"/>
          <w:szCs w:val="20"/>
          <w:highlight w:val="green"/>
          <w:lang w:val="es-CO"/>
        </w:rPr>
        <w:t>Factor de Apoyo al Restablecimiento de Servicios Sociales Básicos. Factor de Apoyo al Restablecimiento de Medios Económicos. Factor de Apoyo a Arrendadores.”</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 </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 xml:space="preserve">Estas compensaciones socioeconómicas, tal y como se establece en su petición, son un reconocimiento considerado como un apoyo económico que busca disminuir el impacto social ocasionado durante la compra del </w:t>
      </w:r>
      <w:proofErr w:type="spellStart"/>
      <w:r w:rsidRPr="002A487E">
        <w:rPr>
          <w:rFonts w:eastAsia="Times New Roman" w:cs="Times New Roman"/>
          <w:color w:val="auto"/>
          <w:szCs w:val="20"/>
          <w:lang w:val="es-CO"/>
        </w:rPr>
        <w:t>prediol</w:t>
      </w:r>
      <w:proofErr w:type="spellEnd"/>
      <w:r w:rsidRPr="002A487E">
        <w:rPr>
          <w:rFonts w:eastAsia="Times New Roman" w:cs="Times New Roman"/>
          <w:color w:val="auto"/>
          <w:szCs w:val="20"/>
          <w:lang w:val="es-CO"/>
        </w:rPr>
        <w:t xml:space="preserve"> (sic) y ayuda a personas </w:t>
      </w:r>
      <w:r w:rsidRPr="002A487E">
        <w:rPr>
          <w:rFonts w:eastAsia="Times New Roman" w:cs="Times New Roman"/>
          <w:color w:val="auto"/>
          <w:szCs w:val="20"/>
          <w:u w:val="single"/>
          <w:lang w:val="es-CO"/>
        </w:rPr>
        <w:t>moradoras</w:t>
      </w:r>
      <w:r w:rsidRPr="002A487E">
        <w:rPr>
          <w:rFonts w:eastAsia="Times New Roman" w:cs="Times New Roman"/>
          <w:color w:val="auto"/>
          <w:szCs w:val="20"/>
          <w:lang w:val="es-CO"/>
        </w:rPr>
        <w:t xml:space="preserve"> del sector en su desplazamiento. En este sentido, podría interpretarse que estos apoyos corresponden a una indemnización otorgada a la persona afectada por el proyecto que se está desarrollando.</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lastRenderedPageBreak/>
        <w:t> </w:t>
      </w:r>
    </w:p>
    <w:p w:rsidR="002A487E" w:rsidRPr="002A487E" w:rsidRDefault="002A487E" w:rsidP="002A487E">
      <w:pPr>
        <w:spacing w:line="240" w:lineRule="auto"/>
        <w:rPr>
          <w:rFonts w:eastAsia="Times New Roman" w:cs="Times New Roman"/>
          <w:color w:val="auto"/>
          <w:szCs w:val="24"/>
          <w:lang w:val="es-CO"/>
        </w:rPr>
      </w:pPr>
      <w:r w:rsidRPr="00DB5C9E">
        <w:rPr>
          <w:rFonts w:eastAsia="Times New Roman" w:cs="Times New Roman"/>
          <w:color w:val="auto"/>
          <w:szCs w:val="20"/>
          <w:highlight w:val="green"/>
          <w:lang w:val="es-CO"/>
        </w:rPr>
        <w:t xml:space="preserve">Dicha compensación, al igual que el Concepto 00278 de 11 de abril de 2016 de la Dirección de Impuestos y Aduanas Nacionales (“DIAN”), consideramos que cumple con características de una indemnización por lucro cesante y, por ende, se rige bajo el </w:t>
      </w:r>
      <w:hyperlink r:id="rId4" w:tooltip="Estatuto Tributario CETA" w:history="1">
        <w:r w:rsidRPr="00DB5C9E">
          <w:rPr>
            <w:rFonts w:eastAsia="Times New Roman" w:cs="Times New Roman"/>
            <w:color w:val="auto"/>
            <w:szCs w:val="20"/>
            <w:highlight w:val="green"/>
            <w:u w:val="single"/>
            <w:lang w:val="es-CO"/>
          </w:rPr>
          <w:t>Artículo 401-2</w:t>
        </w:r>
      </w:hyperlink>
      <w:r w:rsidRPr="00DB5C9E">
        <w:rPr>
          <w:rFonts w:eastAsia="Times New Roman" w:cs="Times New Roman"/>
          <w:color w:val="auto"/>
          <w:szCs w:val="20"/>
          <w:highlight w:val="green"/>
          <w:lang w:val="es-CO"/>
        </w:rPr>
        <w:t xml:space="preserve"> del Estatuto Tributario establece que:</w:t>
      </w:r>
    </w:p>
    <w:p w:rsidR="002A487E" w:rsidRPr="002A487E" w:rsidRDefault="002A487E" w:rsidP="002A487E">
      <w:pPr>
        <w:spacing w:line="240" w:lineRule="auto"/>
        <w:ind w:left="180"/>
        <w:rPr>
          <w:rFonts w:eastAsia="Times New Roman" w:cs="Times New Roman"/>
          <w:color w:val="auto"/>
          <w:szCs w:val="24"/>
          <w:lang w:val="es-CO"/>
        </w:rPr>
      </w:pPr>
      <w:r w:rsidRPr="002A487E">
        <w:rPr>
          <w:rFonts w:eastAsia="Times New Roman" w:cs="Times New Roman"/>
          <w:i/>
          <w:color w:val="auto"/>
          <w:szCs w:val="20"/>
          <w:lang w:val="es-CO"/>
        </w:rPr>
        <w:t> </w:t>
      </w:r>
    </w:p>
    <w:p w:rsidR="002A487E" w:rsidRPr="002A487E" w:rsidRDefault="002A487E" w:rsidP="002A487E">
      <w:pPr>
        <w:spacing w:line="240" w:lineRule="auto"/>
        <w:ind w:left="180"/>
        <w:rPr>
          <w:rFonts w:eastAsia="Times New Roman" w:cs="Times New Roman"/>
          <w:color w:val="auto"/>
          <w:szCs w:val="24"/>
          <w:lang w:val="es-CO"/>
        </w:rPr>
      </w:pPr>
      <w:r w:rsidRPr="002A487E">
        <w:rPr>
          <w:rFonts w:eastAsia="Times New Roman" w:cs="Times New Roman"/>
          <w:i/>
          <w:color w:val="auto"/>
          <w:szCs w:val="20"/>
          <w:lang w:val="es-CO"/>
        </w:rPr>
        <w:t xml:space="preserve">“Los pagos o abonos en cuenta por concepto de indemnizaciones diferentes a las indemnizaciones salariales y a las percibidas por los nacionales como resultado de demandas contra el Estado y contempladas en los artículos </w:t>
      </w:r>
      <w:hyperlink r:id="rId5" w:tooltip="Estatuto Tributario CETA" w:history="1">
        <w:r w:rsidRPr="002A487E">
          <w:rPr>
            <w:rFonts w:eastAsia="Times New Roman" w:cs="Times New Roman"/>
            <w:i/>
            <w:color w:val="auto"/>
            <w:szCs w:val="20"/>
            <w:u w:val="single"/>
            <w:lang w:val="es-CO"/>
          </w:rPr>
          <w:t>45</w:t>
        </w:r>
      </w:hyperlink>
      <w:r w:rsidRPr="002A487E">
        <w:rPr>
          <w:rFonts w:eastAsia="Times New Roman" w:cs="Times New Roman"/>
          <w:i/>
          <w:color w:val="auto"/>
          <w:szCs w:val="20"/>
          <w:lang w:val="es-CO"/>
        </w:rPr>
        <w:t xml:space="preserve"> y </w:t>
      </w:r>
      <w:hyperlink r:id="rId6" w:tooltip="Estatuto Tributario CETA" w:history="1">
        <w:r w:rsidRPr="002A487E">
          <w:rPr>
            <w:rFonts w:eastAsia="Times New Roman" w:cs="Times New Roman"/>
            <w:i/>
            <w:color w:val="auto"/>
            <w:szCs w:val="20"/>
            <w:u w:val="single"/>
            <w:lang w:val="es-CO"/>
          </w:rPr>
          <w:t>223</w:t>
        </w:r>
      </w:hyperlink>
      <w:r w:rsidRPr="002A487E">
        <w:rPr>
          <w:rFonts w:eastAsia="Times New Roman" w:cs="Times New Roman"/>
          <w:i/>
          <w:color w:val="auto"/>
          <w:szCs w:val="20"/>
          <w:lang w:val="es-CO"/>
        </w:rPr>
        <w:t xml:space="preserve"> del Estatuto Tributario, estará sometida a retención por concepto de renta a la tarifa del treinta y tres por ciento (33%), si los beneficiarios de la misma son extranjeros sin residencia en el país. </w:t>
      </w:r>
      <w:r w:rsidRPr="00DB5C9E">
        <w:rPr>
          <w:rFonts w:eastAsia="Times New Roman" w:cs="Times New Roman"/>
          <w:i/>
          <w:color w:val="auto"/>
          <w:szCs w:val="20"/>
          <w:highlight w:val="green"/>
          <w:lang w:val="es-CO"/>
        </w:rPr>
        <w:t>Si los beneficiarios del pago son residentes en el país, la tarifa de retención por este concepto será del veinte por ciento (20%).”</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 </w:t>
      </w:r>
    </w:p>
    <w:p w:rsidR="002A487E" w:rsidRPr="002A487E" w:rsidRDefault="002A487E" w:rsidP="002A487E">
      <w:pPr>
        <w:spacing w:line="240" w:lineRule="auto"/>
        <w:rPr>
          <w:rFonts w:eastAsia="Times New Roman" w:cs="Times New Roman"/>
          <w:color w:val="auto"/>
          <w:szCs w:val="24"/>
          <w:lang w:val="es-CO"/>
        </w:rPr>
      </w:pPr>
      <w:r w:rsidRPr="00DB5C9E">
        <w:rPr>
          <w:rFonts w:eastAsia="Times New Roman" w:cs="Times New Roman"/>
          <w:color w:val="auto"/>
          <w:szCs w:val="20"/>
          <w:highlight w:val="green"/>
          <w:lang w:val="es-CO"/>
        </w:rPr>
        <w:t>Por lo anterior, este Despacho considera que la retención en la fuente por las compensaciones socioeconómicas de que trata la Resolución INCO 0545 de 2008 en su Artículo 8, deberá ser del 33% o el 20%, dependiendo de las calidades de quien recibe dicha compensación.</w:t>
      </w:r>
      <w:bookmarkStart w:id="0" w:name="_GoBack"/>
      <w:bookmarkEnd w:id="0"/>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 </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En los anteriores términos, damos respuesta a su consulta.</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 </w:t>
      </w: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color w:val="auto"/>
          <w:szCs w:val="20"/>
          <w:lang w:val="es-CO"/>
        </w:rPr>
        <w:t>Atentamente,</w:t>
      </w:r>
    </w:p>
    <w:p w:rsidR="002A487E" w:rsidRPr="002A487E" w:rsidRDefault="002A487E" w:rsidP="002A487E">
      <w:pPr>
        <w:spacing w:line="240" w:lineRule="auto"/>
        <w:rPr>
          <w:rFonts w:eastAsia="Times New Roman" w:cs="Times New Roman"/>
          <w:b/>
          <w:color w:val="auto"/>
          <w:szCs w:val="20"/>
          <w:lang w:val="es-CO"/>
        </w:rPr>
      </w:pPr>
    </w:p>
    <w:p w:rsidR="002A487E" w:rsidRPr="002A487E" w:rsidRDefault="002A487E" w:rsidP="002A487E">
      <w:pPr>
        <w:spacing w:line="240" w:lineRule="auto"/>
        <w:rPr>
          <w:rFonts w:eastAsia="Times New Roman" w:cs="Times New Roman"/>
          <w:b/>
          <w:color w:val="auto"/>
          <w:szCs w:val="20"/>
          <w:lang w:val="es-CO"/>
        </w:rPr>
      </w:pPr>
    </w:p>
    <w:p w:rsidR="002A487E" w:rsidRPr="002A487E" w:rsidRDefault="002A487E" w:rsidP="002A487E">
      <w:pPr>
        <w:spacing w:line="240" w:lineRule="auto"/>
        <w:rPr>
          <w:rFonts w:eastAsia="Times New Roman" w:cs="Times New Roman"/>
          <w:color w:val="auto"/>
          <w:szCs w:val="24"/>
          <w:lang w:val="es-CO"/>
        </w:rPr>
      </w:pPr>
      <w:r w:rsidRPr="002A487E">
        <w:rPr>
          <w:rFonts w:eastAsia="Times New Roman" w:cs="Times New Roman"/>
          <w:b/>
          <w:color w:val="auto"/>
          <w:szCs w:val="20"/>
          <w:lang w:val="es-CO"/>
        </w:rPr>
        <w:t>LILIANA ANDREA FORERO GÓMEZ</w:t>
      </w:r>
    </w:p>
    <w:p w:rsidR="002A487E" w:rsidRDefault="002A487E" w:rsidP="002A487E">
      <w:pPr>
        <w:spacing w:line="240" w:lineRule="auto"/>
        <w:rPr>
          <w:rFonts w:eastAsia="Times New Roman" w:cs="Times New Roman"/>
          <w:color w:val="auto"/>
          <w:szCs w:val="20"/>
          <w:lang w:val="es-CO"/>
        </w:rPr>
      </w:pPr>
      <w:r w:rsidRPr="002A487E">
        <w:rPr>
          <w:rFonts w:eastAsia="Times New Roman" w:cs="Times New Roman"/>
          <w:color w:val="auto"/>
          <w:szCs w:val="20"/>
          <w:lang w:val="es-CO"/>
        </w:rPr>
        <w:t>Directora de Gestión Jurídica</w:t>
      </w:r>
      <w:r>
        <w:rPr>
          <w:rFonts w:eastAsia="Times New Roman" w:cs="Times New Roman"/>
          <w:color w:val="auto"/>
          <w:szCs w:val="20"/>
          <w:lang w:val="es-CO"/>
        </w:rPr>
        <w:t>.</w:t>
      </w:r>
    </w:p>
    <w:p w:rsidR="002A487E" w:rsidRPr="002A487E" w:rsidRDefault="002A487E" w:rsidP="002A487E">
      <w:pPr>
        <w:spacing w:line="240" w:lineRule="auto"/>
        <w:rPr>
          <w:rFonts w:eastAsia="Times New Roman" w:cs="Times New Roman"/>
          <w:color w:val="auto"/>
          <w:szCs w:val="24"/>
          <w:lang w:val="es-CO"/>
        </w:rPr>
      </w:pPr>
      <w:r>
        <w:rPr>
          <w:rFonts w:eastAsia="Times New Roman" w:cs="Times New Roman"/>
          <w:color w:val="auto"/>
          <w:szCs w:val="20"/>
          <w:lang w:val="es-CO"/>
        </w:rPr>
        <w:t>_________________________________________________________________________</w:t>
      </w:r>
    </w:p>
    <w:p w:rsidR="00147980" w:rsidRPr="002A487E" w:rsidRDefault="00147980">
      <w:pPr>
        <w:rPr>
          <w:rFonts w:cs="Times New Roman"/>
          <w:color w:val="auto"/>
          <w:lang w:val="es-CO"/>
        </w:rPr>
      </w:pPr>
    </w:p>
    <w:sectPr w:rsidR="00147980" w:rsidRPr="002A487E"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7E"/>
    <w:rsid w:val="00147980"/>
    <w:rsid w:val="002A487E"/>
    <w:rsid w:val="00B66046"/>
    <w:rsid w:val="00DB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94765-9C1C-4294-B7E8-5F28716B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4290">
      <w:bodyDiv w:val="1"/>
      <w:marLeft w:val="0"/>
      <w:marRight w:val="0"/>
      <w:marTop w:val="0"/>
      <w:marBottom w:val="0"/>
      <w:divBdr>
        <w:top w:val="none" w:sz="0" w:space="0" w:color="auto"/>
        <w:left w:val="none" w:sz="0" w:space="0" w:color="auto"/>
        <w:bottom w:val="none" w:sz="0" w:space="0" w:color="auto"/>
        <w:right w:val="none" w:sz="0" w:space="0" w:color="auto"/>
      </w:divBdr>
    </w:div>
    <w:div w:id="470751482">
      <w:bodyDiv w:val="1"/>
      <w:marLeft w:val="0"/>
      <w:marRight w:val="0"/>
      <w:marTop w:val="0"/>
      <w:marBottom w:val="0"/>
      <w:divBdr>
        <w:top w:val="none" w:sz="0" w:space="0" w:color="auto"/>
        <w:left w:val="none" w:sz="0" w:space="0" w:color="auto"/>
        <w:bottom w:val="none" w:sz="0" w:space="0" w:color="auto"/>
        <w:right w:val="none" w:sz="0" w:space="0" w:color="auto"/>
      </w:divBdr>
    </w:div>
    <w:div w:id="1022318620">
      <w:bodyDiv w:val="1"/>
      <w:marLeft w:val="0"/>
      <w:marRight w:val="0"/>
      <w:marTop w:val="0"/>
      <w:marBottom w:val="0"/>
      <w:divBdr>
        <w:top w:val="none" w:sz="0" w:space="0" w:color="auto"/>
        <w:left w:val="none" w:sz="0" w:space="0" w:color="auto"/>
        <w:bottom w:val="none" w:sz="0" w:space="0" w:color="auto"/>
        <w:right w:val="none" w:sz="0" w:space="0" w:color="auto"/>
      </w:divBdr>
    </w:div>
    <w:div w:id="118228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293" TargetMode="External"/><Relationship Id="rId5" Type="http://schemas.openxmlformats.org/officeDocument/2006/relationships/hyperlink" Target="https://www.ceta.org.co/html/vista_de_un_articulo.asp?Norma=81" TargetMode="External"/><Relationship Id="rId4" Type="http://schemas.openxmlformats.org/officeDocument/2006/relationships/hyperlink" Target="https://www.ceta.org.co/html/vista_de_un_articulo.asp?Norma=108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2018-07-20T13:53:00Z</dcterms:created>
  <dcterms:modified xsi:type="dcterms:W3CDTF">2019-02-05T01:02:00Z</dcterms:modified>
</cp:coreProperties>
</file>